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4774" w14:textId="55EE6D82" w:rsidR="0069114E" w:rsidRPr="00BC5FAE" w:rsidRDefault="00E04860" w:rsidP="00BD7B77">
      <w:pPr>
        <w:spacing w:after="0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BC5FAE">
        <w:rPr>
          <w:rFonts w:ascii="Sylfaen" w:hAnsi="Sylfae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0CE1D007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Merab A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leksidze </w:t>
                            </w:r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Tbilisi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Georgia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5DBD25C8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Tel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B572C0F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Fax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">
                <v:textbox style="mso-fit-shape-to-text:t">
                  <w:txbxContent>
                    <w:p w14:paraId="2F84C9FC" w14:textId="0CE1D007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Merab A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leksidze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Tbilisi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Georgia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5DBD25C8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Tel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B572C0F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Fax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5E4592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BC5FAE" w:rsidRDefault="00D81744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656B0ED4" w14:textId="77777777" w:rsidR="001A07F7" w:rsidRPr="00BC5FAE" w:rsidRDefault="001A07F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59056D8C" w14:textId="77777777" w:rsidR="00BD7B77" w:rsidRPr="00BC5FAE" w:rsidRDefault="00BD7B77" w:rsidP="00BC5FAE">
      <w:pPr>
        <w:spacing w:after="0"/>
        <w:rPr>
          <w:rFonts w:ascii="Sylfaen" w:hAnsi="Sylfaen"/>
          <w:b/>
          <w:color w:val="000000" w:themeColor="text1"/>
          <w:sz w:val="28"/>
          <w:szCs w:val="28"/>
        </w:rPr>
      </w:pPr>
    </w:p>
    <w:p w14:paraId="396272A2" w14:textId="77777777" w:rsidR="00BD7B77" w:rsidRPr="00BC5FAE" w:rsidRDefault="00BD7B7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3B84EA52" w14:textId="03164361" w:rsidR="00C31E4C" w:rsidRPr="00043E1F" w:rsidRDefault="00043E1F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  <w:lang w:val="en-US"/>
        </w:rPr>
      </w:pPr>
      <w:r>
        <w:rPr>
          <w:rFonts w:ascii="Sylfaen" w:hAnsi="Sylfaen"/>
          <w:b/>
          <w:color w:val="000000" w:themeColor="text1"/>
          <w:sz w:val="28"/>
          <w:szCs w:val="28"/>
          <w:lang w:val="en-US"/>
        </w:rPr>
        <w:t>Business School</w:t>
      </w:r>
    </w:p>
    <w:p w14:paraId="1D186B62" w14:textId="76EA66D5" w:rsidR="00AA24C7" w:rsidRPr="00043E1F" w:rsidRDefault="00043E1F" w:rsidP="00BD7B77">
      <w:pPr>
        <w:spacing w:after="0"/>
        <w:jc w:val="center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Curriculum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D01FF8" w:rsidRPr="00BC5FAE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</w:p>
        </w:tc>
      </w:tr>
      <w:tr w:rsidR="00D01FF8" w:rsidRPr="00BC5FAE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644D4328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Program Name</w:t>
            </w:r>
          </w:p>
        </w:tc>
      </w:tr>
      <w:tr w:rsidR="00D01FF8" w:rsidRPr="00BC5FAE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3C29317D" w:rsidR="00C66E31" w:rsidRPr="00BC5FAE" w:rsidRDefault="009D6DB6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Business Administration</w:t>
            </w:r>
            <w:r w:rsidR="00E2183B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(240 Credits)</w:t>
            </w:r>
          </w:p>
        </w:tc>
      </w:tr>
      <w:tr w:rsidR="00D01FF8" w:rsidRPr="00BC5FAE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4C1876C8" w:rsidR="00C66E31" w:rsidRPr="00BC5FAE" w:rsidRDefault="00043E1F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Academic Level</w:t>
            </w:r>
          </w:p>
        </w:tc>
      </w:tr>
      <w:tr w:rsidR="00D01FF8" w:rsidRPr="00BC5FAE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1AFD840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</w:rPr>
              <w:t>Bachelor’</w:t>
            </w:r>
            <w:r>
              <w:rPr>
                <w:rFonts w:ascii="Sylfaen" w:hAnsi="Sylfaen"/>
                <w:bCs/>
                <w:color w:val="000000" w:themeColor="text1"/>
                <w:lang w:val="en-US"/>
              </w:rPr>
              <w:t>s</w:t>
            </w:r>
          </w:p>
        </w:tc>
      </w:tr>
      <w:tr w:rsidR="00D01FF8" w:rsidRPr="00BC5FAE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138696DC" w:rsidR="00C66E31" w:rsidRPr="00BC5FAE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Qualification to be conferred</w:t>
            </w:r>
          </w:p>
        </w:tc>
      </w:tr>
      <w:tr w:rsidR="00D01FF8" w:rsidRPr="00BC5FAE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5F56BFC" w:rsidR="00C66E31" w:rsidRPr="00BC5FAE" w:rsidRDefault="009D6DB6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Bachelor of Business Administration</w:t>
            </w:r>
          </w:p>
        </w:tc>
      </w:tr>
      <w:tr w:rsidR="00D01FF8" w:rsidRPr="00BC5FAE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1113CF2D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Head of the Program</w:t>
            </w:r>
          </w:p>
        </w:tc>
      </w:tr>
      <w:tr w:rsidR="00D01FF8" w:rsidRPr="00BC5FAE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4A9E2A10" w:rsidR="00781561" w:rsidRPr="00043E1F" w:rsidRDefault="00043E1F" w:rsidP="00043E1F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</w:rPr>
              <w:t>Tamaz Uzunashvili</w:t>
            </w:r>
            <w:r w:rsidR="009D6DB6" w:rsidRPr="00BC5FAE">
              <w:rPr>
                <w:rFonts w:ascii="Sylfaen" w:hAnsi="Sylfaen"/>
                <w:bCs/>
                <w:color w:val="000000" w:themeColor="text1"/>
              </w:rPr>
              <w:t xml:space="preserve"> - </w:t>
            </w:r>
            <w:r>
              <w:rPr>
                <w:rFonts w:ascii="Sylfaen" w:hAnsi="Sylfaen"/>
                <w:bCs/>
                <w:color w:val="000000" w:themeColor="text1"/>
              </w:rPr>
              <w:t>Professor</w:t>
            </w:r>
            <w:r w:rsidR="00077DAB" w:rsidRPr="00BC5FAE">
              <w:rPr>
                <w:rFonts w:ascii="Sylfaen" w:hAnsi="Sylfaen"/>
                <w:bCs/>
                <w:color w:val="000000" w:themeColor="text1"/>
              </w:rPr>
              <w:t xml:space="preserve">, </w:t>
            </w:r>
            <w:r>
              <w:rPr>
                <w:rFonts w:ascii="Sylfaen" w:hAnsi="Sylfaen"/>
                <w:bCs/>
                <w:color w:val="000000" w:themeColor="text1"/>
                <w:lang w:val="en-US"/>
              </w:rPr>
              <w:t>Deputy Dean of the School of Business</w:t>
            </w:r>
          </w:p>
        </w:tc>
      </w:tr>
      <w:tr w:rsidR="00D01FF8" w:rsidRPr="00BC5FAE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675763A5" w:rsidR="00C66E31" w:rsidRPr="00043E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Program volume</w:t>
            </w:r>
          </w:p>
        </w:tc>
      </w:tr>
      <w:tr w:rsidR="00D01FF8" w:rsidRPr="00BC5FAE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4216B08" w:rsidR="00BD7B77" w:rsidRPr="00BC5FAE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Bachelor’s Program of Business Administration is based on ECTS system.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A student must accumulate 240 (ECTS) credits within the framework of the education program in order to be conferred the qualification of Bachelor in Business Administration. </w:t>
            </w:r>
          </w:p>
          <w:p w14:paraId="6D1A3890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257C2C5" w14:textId="5B03C286" w:rsidR="00BD7B77" w:rsidRPr="00BC5FAE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Bachelor’s Program in Business Administration consists of the mandatory courses (</w:t>
            </w:r>
            <w:r w:rsid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core </w:t>
            </w:r>
            <w:r w:rsidRPr="00831F6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components) relevant to the major study sphere and of the free components. </w:t>
            </w:r>
          </w:p>
          <w:p w14:paraId="0557BF6F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521CCA0C" w14:textId="13522C04" w:rsidR="00BD7B77" w:rsidRPr="00E87714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The duration of the study on the Bachelor’s Level of Business Administration is 4 years, 8 semesters. </w:t>
            </w:r>
          </w:p>
          <w:p w14:paraId="6EDA91EB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40A7FF91" w14:textId="05A82054" w:rsidR="00BD7B77" w:rsidRPr="00E87714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</w:pP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A student accumulates 60 credits during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>an academic</w:t>
            </w:r>
            <w:r w:rsidRPr="00E87714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year, i.e.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30 credits during a semester, although based on the individual workload of a student, the number of credits per annum can be more or less than 60, but no more than 75 (ECTS). </w:t>
            </w:r>
          </w:p>
          <w:p w14:paraId="21588CD0" w14:textId="5D10915E" w:rsidR="003F7930" w:rsidRDefault="00E87714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en-US"/>
              </w:rPr>
              <w:t xml:space="preserve">A student accumulates 138 credits from the core courses relevant to the major study sphere. </w:t>
            </w:r>
          </w:p>
          <w:p w14:paraId="6D0AF4FC" w14:textId="4F4721AB" w:rsidR="00C275CC" w:rsidRPr="00BC5FAE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E87714">
              <w:rPr>
                <w:rFonts w:ascii="Sylfaen" w:hAnsi="Sylfaen" w:cs="Sylfaen"/>
                <w:b/>
                <w:bCs/>
                <w:color w:val="000000" w:themeColor="text1"/>
              </w:rPr>
              <w:t>A student accumulates 36 credits from the elective component</w:t>
            </w:r>
            <w:r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>s</w:t>
            </w:r>
            <w:r w:rsidRPr="00E87714">
              <w:rPr>
                <w:rFonts w:ascii="Sylfaen" w:hAnsi="Sylfaen" w:cs="Sylfaen"/>
                <w:b/>
                <w:bCs/>
                <w:color w:val="000000" w:themeColor="text1"/>
              </w:rPr>
              <w:t xml:space="preserve"> relevant to the major study sphere.</w:t>
            </w:r>
            <w:r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2586ECF" w14:textId="5BE7E24A" w:rsidR="00C275CC" w:rsidRPr="00BC5FAE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Practical component (elective) 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 xml:space="preserve">- 6 </w:t>
            </w:r>
            <w:r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credits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:</w:t>
            </w:r>
          </w:p>
          <w:p w14:paraId="759FD410" w14:textId="39CF65A3" w:rsidR="00C275CC" w:rsidRPr="00BC5FAE" w:rsidRDefault="00E87714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Out of 36 </w:t>
            </w:r>
            <w:r w:rsidR="00A139AF"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credits from the elective components of the major study sphere, a student can use 6 credits for practical component.</w:t>
            </w:r>
            <w:r w:rsid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0F9753FD" w14:textId="748689B4" w:rsidR="00C275CC" w:rsidRPr="00BC5FAE" w:rsidRDefault="00A139AF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A student will accomplish a practical component of the study program at the institutions, organizati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ons or companies with whom the U</w:t>
            </w:r>
            <w:r w:rsidRPr="00A139AF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niversity or the Business School have signed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a memorandum/agreement of cooperation. </w:t>
            </w:r>
          </w:p>
          <w:p w14:paraId="3B7DD339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</w:p>
          <w:p w14:paraId="651D0207" w14:textId="551D16E1" w:rsidR="00C275CC" w:rsidRPr="00BC5FAE" w:rsidRDefault="00EF446E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  <w:r w:rsidRPr="00EF446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Bachelor’s Thesis (elective)</w:t>
            </w:r>
            <w:r w:rsidR="00C275CC"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 – 12 </w:t>
            </w:r>
            <w:r>
              <w:rPr>
                <w:rFonts w:ascii="Sylfaen" w:hAnsi="Sylfaen"/>
                <w:b/>
                <w:bCs/>
                <w:color w:val="000000" w:themeColor="text1"/>
              </w:rPr>
              <w:t>credits</w:t>
            </w:r>
            <w:r w:rsidR="00C275CC" w:rsidRPr="00BC5FAE">
              <w:rPr>
                <w:rFonts w:ascii="Sylfaen" w:hAnsi="Sylfaen"/>
                <w:b/>
                <w:bCs/>
                <w:color w:val="000000" w:themeColor="text1"/>
              </w:rPr>
              <w:t>:</w:t>
            </w:r>
          </w:p>
          <w:p w14:paraId="24E3BBF5" w14:textId="46933A10" w:rsidR="00C275CC" w:rsidRPr="00EF446E" w:rsidRDefault="00EF446E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</w:pPr>
            <w:r w:rsidRPr="00EF446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A student can accumulate 12 credits out of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36 credits of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elective courses relevant to the major 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study </w:t>
            </w:r>
            <w:r w:rsidRPr="00EF446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phere</w:t>
            </w:r>
            <w:r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 xml:space="preserve"> by writing a Bachelor’s thesis. </w:t>
            </w:r>
          </w:p>
          <w:p w14:paraId="378FAA6E" w14:textId="77777777" w:rsidR="00C275CC" w:rsidRPr="00BC5FAE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36BF614" w14:textId="4D46C7A5" w:rsidR="00D731D2" w:rsidRDefault="00EF446E" w:rsidP="00BD7B77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/>
              </w:rPr>
            </w:pPr>
            <w:r w:rsidRPr="00EF446E">
              <w:rPr>
                <w:rFonts w:ascii="Sylfaen" w:hAnsi="Sylfaen" w:cs="Arial"/>
                <w:b/>
                <w:bCs/>
                <w:color w:val="000000"/>
              </w:rPr>
              <w:t>A student accumulates 48 credits in the free component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>s</w:t>
            </w:r>
            <w:r w:rsidRPr="00EF446E">
              <w:rPr>
                <w:rFonts w:ascii="Sylfaen" w:hAnsi="Sylfaen" w:cs="Arial"/>
                <w:b/>
                <w:bCs/>
                <w:color w:val="000000"/>
              </w:rPr>
              <w:t xml:space="preserve"> of the major study courses.</w:t>
            </w:r>
            <w:r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</w:p>
          <w:p w14:paraId="2F65D7AA" w14:textId="77777777" w:rsidR="00EF446E" w:rsidRPr="00BC5FAE" w:rsidRDefault="00EF446E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AC31693" w14:textId="50482BE2" w:rsidR="00DE10C1" w:rsidRPr="00C275CC" w:rsidRDefault="007640D2" w:rsidP="00425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1AC5">
              <w:rPr>
                <w:rFonts w:ascii="Sylfaen" w:hAnsi="Sylfaen" w:cs="Arial"/>
                <w:b/>
                <w:bCs/>
                <w:color w:val="000000"/>
              </w:rPr>
              <w:t xml:space="preserve">A student accumulates 18 credits 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>through the elective courses of the free component (an</w:t>
            </w:r>
            <w:r w:rsidR="00DB1AC5">
              <w:rPr>
                <w:rFonts w:ascii="Sylfaen" w:hAnsi="Sylfaen" w:cs="Arial"/>
                <w:b/>
                <w:bCs/>
                <w:color w:val="000000"/>
                <w:lang w:val="en-US"/>
              </w:rPr>
              <w:t>y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 xml:space="preserve"> course from another Bachelor’</w:t>
            </w:r>
            <w:r w:rsidR="00DB1AC5">
              <w:rPr>
                <w:rFonts w:ascii="Sylfaen" w:hAnsi="Sylfaen" w:cs="Arial"/>
                <w:b/>
                <w:bCs/>
                <w:color w:val="000000"/>
              </w:rPr>
              <w:t>s program at the university,</w:t>
            </w:r>
            <w:r w:rsidR="00DB1AC5" w:rsidRPr="00DB1AC5">
              <w:rPr>
                <w:rFonts w:ascii="Sylfaen" w:hAnsi="Sylfaen" w:cs="Arial"/>
                <w:b/>
                <w:bCs/>
                <w:color w:val="000000"/>
              </w:rPr>
              <w:t xml:space="preserve"> practical or research component). </w:t>
            </w:r>
          </w:p>
          <w:p w14:paraId="681FEA9C" w14:textId="77777777" w:rsidR="00DE10C1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</w:p>
          <w:p w14:paraId="2E9BB418" w14:textId="50E09655" w:rsidR="000F5E17" w:rsidRPr="000F5E17" w:rsidRDefault="000F5E17" w:rsidP="00026B64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Sylfaen" w:hAnsi="Sylfaen"/>
                <w:lang w:val="en-US"/>
              </w:rPr>
              <w:t xml:space="preserve">Instead of electives of free components, a student can earn 18 </w:t>
            </w:r>
            <w:r>
              <w:rPr>
                <w:rFonts w:ascii="Sylfaen" w:hAnsi="Sylfaen"/>
              </w:rPr>
              <w:t>f</w:t>
            </w:r>
            <w:r w:rsidR="00026B64">
              <w:rPr>
                <w:rFonts w:ascii="Sylfaen" w:hAnsi="Sylfaen"/>
              </w:rPr>
              <w:t xml:space="preserve">ree credits </w:t>
            </w:r>
            <w:r w:rsidRPr="000F5E17">
              <w:rPr>
                <w:rFonts w:ascii="Sylfaen" w:hAnsi="Sylfaen"/>
              </w:rPr>
              <w:t>from any offered elective courses from the educational program of School of Business</w:t>
            </w:r>
            <w:r w:rsidR="00026B64">
              <w:rPr>
                <w:rFonts w:ascii="Sylfaen" w:hAnsi="Sylfaen"/>
                <w:lang w:val="en-US"/>
              </w:rPr>
              <w:t xml:space="preserve"> (major study sphere, free component)</w:t>
            </w:r>
            <w:r w:rsidRPr="000F5E17">
              <w:rPr>
                <w:rFonts w:ascii="Sylfaen" w:hAnsi="Sylfaen"/>
              </w:rPr>
              <w:t xml:space="preserve"> or </w:t>
            </w:r>
            <w:r w:rsidR="00026B64">
              <w:rPr>
                <w:rFonts w:ascii="Sylfaen" w:hAnsi="Sylfaen"/>
                <w:lang w:val="en-US"/>
              </w:rPr>
              <w:t xml:space="preserve">from </w:t>
            </w:r>
            <w:r w:rsidRPr="000F5E17">
              <w:rPr>
                <w:rFonts w:ascii="Sylfaen" w:hAnsi="Sylfaen"/>
              </w:rPr>
              <w:t>any other academ</w:t>
            </w:r>
            <w:r w:rsidR="00026B64">
              <w:rPr>
                <w:rFonts w:ascii="Sylfaen" w:hAnsi="Sylfaen"/>
              </w:rPr>
              <w:t>ic program of the equal level at</w:t>
            </w:r>
            <w:r w:rsidRPr="000F5E17">
              <w:rPr>
                <w:rFonts w:ascii="Sylfaen" w:hAnsi="Sylfaen"/>
              </w:rPr>
              <w:t xml:space="preserve"> Georgian-American U</w:t>
            </w:r>
            <w:r w:rsidR="00026B64">
              <w:rPr>
                <w:rFonts w:ascii="Sylfaen" w:hAnsi="Sylfaen"/>
              </w:rPr>
              <w:t xml:space="preserve">niversity; from the </w:t>
            </w:r>
            <w:r w:rsidRPr="000F5E17">
              <w:rPr>
                <w:rFonts w:ascii="Sylfaen" w:hAnsi="Sylfaen"/>
              </w:rPr>
              <w:t xml:space="preserve">academic educational program </w:t>
            </w:r>
            <w:r w:rsidR="00026B64">
              <w:rPr>
                <w:rFonts w:ascii="Sylfaen" w:hAnsi="Sylfaen"/>
                <w:lang w:val="en-US"/>
              </w:rPr>
              <w:t xml:space="preserve">of equivalent level </w:t>
            </w:r>
            <w:r w:rsidR="00026B64">
              <w:rPr>
                <w:rFonts w:ascii="Sylfaen" w:hAnsi="Sylfaen"/>
              </w:rPr>
              <w:t>at</w:t>
            </w:r>
            <w:r w:rsidRPr="000F5E17">
              <w:rPr>
                <w:rFonts w:ascii="Sylfaen" w:hAnsi="Sylfaen"/>
              </w:rPr>
              <w:t xml:space="preserve"> any other accredited higher educational institut</w:t>
            </w:r>
            <w:r w:rsidR="00026B64">
              <w:rPr>
                <w:rFonts w:ascii="Sylfaen" w:hAnsi="Sylfaen"/>
              </w:rPr>
              <w:t xml:space="preserve">ion of Georgia or from the </w:t>
            </w:r>
            <w:r w:rsidRPr="000F5E17">
              <w:rPr>
                <w:rFonts w:ascii="Sylfaen" w:hAnsi="Sylfaen"/>
              </w:rPr>
              <w:t xml:space="preserve">academic educational program </w:t>
            </w:r>
            <w:r w:rsidR="00026B64">
              <w:rPr>
                <w:rFonts w:ascii="Sylfaen" w:hAnsi="Sylfaen"/>
                <w:lang w:val="en-US"/>
              </w:rPr>
              <w:t xml:space="preserve">of equivalent level </w:t>
            </w:r>
            <w:r w:rsidR="00026B64">
              <w:rPr>
                <w:rFonts w:ascii="Sylfaen" w:hAnsi="Sylfaen"/>
              </w:rPr>
              <w:t>at a</w:t>
            </w:r>
            <w:r w:rsidRPr="000F5E17">
              <w:rPr>
                <w:rFonts w:ascii="Sylfaen" w:hAnsi="Sylfaen"/>
              </w:rPr>
              <w:t xml:space="preserve"> foreign higher educational institution, if these credits </w:t>
            </w:r>
            <w:r w:rsidR="00026B64">
              <w:rPr>
                <w:rFonts w:ascii="Sylfaen" w:hAnsi="Sylfaen"/>
                <w:lang w:val="en-US"/>
              </w:rPr>
              <w:t>are</w:t>
            </w:r>
            <w:r w:rsidRPr="000F5E17">
              <w:rPr>
                <w:rFonts w:ascii="Sylfaen" w:hAnsi="Sylfaen"/>
              </w:rPr>
              <w:t xml:space="preserve"> </w:t>
            </w:r>
            <w:r w:rsidR="00026B64">
              <w:rPr>
                <w:rFonts w:ascii="Sylfaen" w:hAnsi="Sylfaen"/>
                <w:lang w:val="en-US"/>
              </w:rPr>
              <w:t>approved</w:t>
            </w:r>
            <w:r w:rsidR="00026B64">
              <w:rPr>
                <w:rFonts w:ascii="Sylfaen" w:hAnsi="Sylfaen"/>
              </w:rPr>
              <w:t xml:space="preserve"> by</w:t>
            </w:r>
            <w:r w:rsidRPr="000F5E17">
              <w:rPr>
                <w:rFonts w:ascii="Sylfaen" w:hAnsi="Sylfaen"/>
              </w:rPr>
              <w:t xml:space="preserve"> Georgian legislation.</w:t>
            </w:r>
          </w:p>
        </w:tc>
      </w:tr>
      <w:tr w:rsidR="00D01FF8" w:rsidRPr="00BC5FAE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36144907" w:rsidR="00C66E31" w:rsidRPr="00026B64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Language of instruction</w:t>
            </w:r>
          </w:p>
        </w:tc>
      </w:tr>
      <w:tr w:rsidR="00D01FF8" w:rsidRPr="00BC5FAE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1667759A" w:rsidR="00C66E31" w:rsidRPr="00026B64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Cs/>
                <w:color w:val="000000" w:themeColor="text1"/>
                <w:lang w:val="en-US"/>
              </w:rPr>
              <w:t>Georgian</w:t>
            </w:r>
          </w:p>
        </w:tc>
      </w:tr>
      <w:tr w:rsidR="00D01FF8" w:rsidRPr="00BC5FAE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34BD35E1" w:rsidR="00C66E31" w:rsidRPr="00BC5FAE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Aims of the program</w:t>
            </w:r>
          </w:p>
        </w:tc>
      </w:tr>
      <w:tr w:rsidR="00D01FF8" w:rsidRPr="00BC5FAE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5EB2F6DB" w:rsidR="00BB7775" w:rsidRDefault="00026B64" w:rsidP="00BB7775">
            <w:pPr>
              <w:pStyle w:val="HTMLPreformatted"/>
              <w:jc w:val="both"/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en-US"/>
              </w:rPr>
              <w:t xml:space="preserve">The aims of the Bachelor’s Program in Business Administration are: </w:t>
            </w:r>
          </w:p>
          <w:p w14:paraId="12B5207B" w14:textId="77777777" w:rsidR="00C81AF9" w:rsidRPr="00A27B54" w:rsidRDefault="00C81AF9" w:rsidP="00BB7775">
            <w:pPr>
              <w:pStyle w:val="HTMLPreformatted"/>
              <w:jc w:val="both"/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</w:pPr>
          </w:p>
          <w:p w14:paraId="671E3E47" w14:textId="606BAEF9" w:rsidR="00E04AFD" w:rsidRPr="00A27B54" w:rsidRDefault="00026B64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To impart a wide-scale knowledge to a student in the sphere of Business Administration, that will enable him/her to analyze business problems and </w:t>
            </w:r>
            <w:r w:rsidR="00DE59FB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en-US"/>
              </w:rPr>
              <w:t xml:space="preserve">to </w:t>
            </w: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prepare the strategies of their solutions</w:t>
            </w:r>
            <w:r w:rsidR="00C81AF9"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that will guarantee effective</w:t>
            </w:r>
            <w:r w:rsidR="00DE59FB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and continuous development of</w:t>
            </w:r>
            <w:r w:rsidR="00C81AF9"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business. </w:t>
            </w:r>
            <w:r w:rsidRPr="00026B6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</w:p>
          <w:p w14:paraId="7F737491" w14:textId="316EF2B6" w:rsidR="00204FBF" w:rsidRDefault="00C81AF9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To equip a student with the skills and cutting-edge </w:t>
            </w: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methods in</w:t>
            </w: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mathematical statistics, data</w:t>
            </w:r>
            <w:r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analysis and business modeling that are applied for the solutions of business problems based on the preliminary instructions.</w:t>
            </w:r>
            <w:r w:rsidRPr="00C81AF9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</w:p>
          <w:p w14:paraId="67FE8325" w14:textId="2B2243D5" w:rsidR="00056691" w:rsidRPr="00BC5FAE" w:rsidRDefault="00C81AF9" w:rsidP="00C81AF9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ka-GE" w:eastAsia="en-US"/>
              </w:rPr>
            </w:pPr>
            <w:r w:rsidRPr="00C81AF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To raise a qualified specialist of high academic and ethical standards who will work effectively in business sphere and will guarantee the establishment of modern methods.</w:t>
            </w:r>
            <w:r>
              <w:rPr>
                <w:rFonts w:ascii="Sylfaen" w:hAnsi="Sylfaen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81AF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</w:tc>
      </w:tr>
      <w:tr w:rsidR="00D01FF8" w:rsidRPr="00BC5FAE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61EA0B1E" w:rsidR="00C66E31" w:rsidRPr="00BC5FAE" w:rsidRDefault="000D766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C74000">
              <w:rPr>
                <w:rFonts w:ascii="Sylfaen" w:hAnsi="Sylfaen"/>
                <w:b/>
                <w:bCs/>
                <w:sz w:val="24"/>
                <w:szCs w:val="24"/>
              </w:rPr>
              <w:t xml:space="preserve">Prerequisites for </w:t>
            </w:r>
            <w:r w:rsidRPr="00C74000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C74000">
              <w:rPr>
                <w:rFonts w:ascii="Sylfaen" w:hAnsi="Sylfaen"/>
                <w:b/>
                <w:bCs/>
                <w:sz w:val="24"/>
                <w:szCs w:val="24"/>
              </w:rPr>
              <w:t>admission to the program</w:t>
            </w:r>
          </w:p>
        </w:tc>
      </w:tr>
      <w:tr w:rsidR="00D01FF8" w:rsidRPr="00BC5FAE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B1E3897" w14:textId="77777777" w:rsidR="007C1626" w:rsidRDefault="007C1626" w:rsidP="00425DFE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In accordance with Georgian legislation, </w:t>
            </w:r>
            <w:r>
              <w:rPr>
                <w:rFonts w:ascii="Sylfaen" w:hAnsi="Sylfaen"/>
                <w:color w:val="000000"/>
                <w:sz w:val="24"/>
                <w:szCs w:val="24"/>
              </w:rPr>
              <w:t>a</w:t>
            </w:r>
            <w:r w:rsidR="000D7662" w:rsidRPr="00C74000">
              <w:rPr>
                <w:rFonts w:ascii="Sylfaen" w:hAnsi="Sylfaen"/>
                <w:color w:val="000000"/>
                <w:sz w:val="24"/>
                <w:szCs w:val="24"/>
              </w:rPr>
              <w:t xml:space="preserve"> person </w:t>
            </w:r>
            <w:r w:rsidR="000D766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may be enrolled on a Bachelor’s Program in Business Administration based on the results of the Unified National Entry Examinations and on the results of an exam in the English Language (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taken </w:t>
            </w:r>
            <w:r w:rsidR="000D766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at Unified National Entry Examinations)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with the gross points of no less than 40%.</w:t>
            </w:r>
          </w:p>
          <w:p w14:paraId="2E376293" w14:textId="23B3A385" w:rsidR="00425DFE" w:rsidRPr="007C1626" w:rsidRDefault="007C1626" w:rsidP="007C1626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Enrollment of st</w:t>
            </w:r>
            <w:r w:rsidR="00AA1B9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udents i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n the Bachelor’s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program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in Business Administration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without having taken Unified National Entry Examinations is only possible in exceptional cases that are </w:t>
            </w:r>
            <w:r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permitted </w:t>
            </w:r>
            <w:r w:rsidRPr="00C74000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>by Georgian legislation.</w:t>
            </w:r>
            <w:r w:rsidR="00AA1B92">
              <w:rPr>
                <w:rFonts w:ascii="Sylfaen" w:hAnsi="Sylfaen"/>
                <w:color w:val="000000"/>
                <w:sz w:val="24"/>
                <w:szCs w:val="24"/>
                <w:lang w:val="en-US"/>
              </w:rPr>
              <w:t xml:space="preserve"> A person wishing to be enrolled in the program without Unified National Entry Examinations must produce a B1 level certificate of the English Language. </w:t>
            </w:r>
          </w:p>
          <w:p w14:paraId="61FC51F7" w14:textId="4432ECD8" w:rsidR="001E16E2" w:rsidRPr="00214134" w:rsidRDefault="00AA1B92" w:rsidP="00AA1B92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en-US"/>
              </w:rPr>
              <w:t xml:space="preserve">The entrants who have completed English-medium education in high schools are exempt from the requirement to produce such a certificate. </w:t>
            </w:r>
          </w:p>
        </w:tc>
      </w:tr>
      <w:tr w:rsidR="00D01FF8" w:rsidRPr="00BC5FAE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56C2AB2" w:rsidR="00C66E31" w:rsidRPr="00AA1B92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Estimate Number of Students</w:t>
            </w:r>
          </w:p>
        </w:tc>
      </w:tr>
      <w:tr w:rsidR="00D01FF8" w:rsidRPr="00BC5FAE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77777777" w:rsidR="00C66E31" w:rsidRPr="00BC5FAE" w:rsidRDefault="003309F3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240</w:t>
            </w:r>
          </w:p>
        </w:tc>
      </w:tr>
      <w:tr w:rsidR="00D01FF8" w:rsidRPr="00BC5FAE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076E50" w:rsidR="00C66E31" w:rsidRPr="00AA1B92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Spheres of employment</w:t>
            </w:r>
          </w:p>
        </w:tc>
      </w:tr>
      <w:tr w:rsidR="00D01FF8" w:rsidRPr="00BC5FAE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5C8B61A3" w:rsidR="003E7139" w:rsidRPr="00874295" w:rsidRDefault="00AA1B92" w:rsidP="00F46969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AA1B92">
              <w:rPr>
                <w:rFonts w:ascii="Sylfaen" w:hAnsi="Sylfaen"/>
                <w:color w:val="000000" w:themeColor="text1"/>
              </w:rPr>
              <w:t xml:space="preserve">A completion of the Bachelor’s Program in Business Administration enables a graduate to hold the following positions in any commercial and non-commercial organizations: 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low- and mid-level manager, accountant, marketing specialist, sales manager, manager of financial </w:t>
            </w:r>
            <w:r w:rsidR="00F46969">
              <w:rPr>
                <w:rFonts w:ascii="Sylfaen" w:hAnsi="Sylfaen"/>
                <w:color w:val="000000" w:themeColor="text1"/>
                <w:lang w:val="en-US"/>
              </w:rPr>
              <w:t xml:space="preserve">department in a firm, etc. </w:t>
            </w:r>
          </w:p>
        </w:tc>
      </w:tr>
      <w:tr w:rsidR="00D01FF8" w:rsidRPr="00BC5FAE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2E7311A0" w:rsidR="00C66E31" w:rsidRPr="006B1B4B" w:rsidRDefault="006B1B4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Learning outcomes</w:t>
            </w:r>
          </w:p>
        </w:tc>
      </w:tr>
      <w:tr w:rsidR="00D01FF8" w:rsidRPr="00BC5FAE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71187279" w14:textId="0538E544" w:rsidR="00861780" w:rsidRPr="006B1B4B" w:rsidRDefault="006B1B4B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lang w:val="en-US"/>
              </w:rPr>
            </w:pPr>
            <w:r>
              <w:rPr>
                <w:rFonts w:ascii="Sylfaen" w:hAnsi="Sylfaen"/>
                <w:color w:val="000000" w:themeColor="text1"/>
                <w:lang w:val="en-US"/>
              </w:rPr>
              <w:t>Upon the successful completion of the Bachelor’s Program</w:t>
            </w:r>
            <w:r w:rsidR="00EA6FE5">
              <w:rPr>
                <w:rFonts w:ascii="Sylfaen" w:hAnsi="Sylfaen"/>
                <w:color w:val="000000" w:themeColor="text1"/>
                <w:lang w:val="en-US"/>
              </w:rPr>
              <w:t xml:space="preserve"> in Business Administration</w:t>
            </w:r>
            <w:r>
              <w:rPr>
                <w:rFonts w:ascii="Sylfaen" w:hAnsi="Sylfaen"/>
                <w:color w:val="000000" w:themeColor="text1"/>
                <w:lang w:val="en-US"/>
              </w:rPr>
              <w:t xml:space="preserve">, a graduate: </w:t>
            </w:r>
          </w:p>
          <w:p w14:paraId="1E96C4D8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4F2251DF" w14:textId="2FAD0023" w:rsidR="009201B2" w:rsidRPr="00BC5FAE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/>
                <w:color w:val="000000" w:themeColor="text1"/>
                <w:sz w:val="21"/>
                <w:szCs w:val="21"/>
              </w:rPr>
              <w:t>Discusses the major theories and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 concepts of business management; describes the problems pertaining to the sphere and identifies relevant solutions to those problems; </w:t>
            </w:r>
          </w:p>
          <w:p w14:paraId="72ABAAA8" w14:textId="0284519B" w:rsidR="009201B2" w:rsidRPr="00BC5FAE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>Gives a detailed description of the challenges f</w:t>
            </w:r>
            <w:r w:rsidR="00EA6FE5">
              <w:rPr>
                <w:rFonts w:ascii="Sylfaen" w:hAnsi="Sylfaen"/>
                <w:color w:val="000000" w:themeColor="text1"/>
                <w:sz w:val="21"/>
                <w:szCs w:val="21"/>
              </w:rPr>
              <w:t>acing business management field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, </w:t>
            </w:r>
            <w:r w:rsidR="00EA6FE5" w:rsidRPr="00EA6FE5">
              <w:rPr>
                <w:rFonts w:ascii="Sylfaen" w:hAnsi="Sylfaen"/>
                <w:color w:val="000000" w:themeColor="text1"/>
                <w:sz w:val="21"/>
                <w:szCs w:val="21"/>
              </w:rPr>
              <w:t>and</w:t>
            </w:r>
            <w:r w:rsidRPr="006B1B4B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 current events and business processes goi</w:t>
            </w:r>
            <w:r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ng on in the functional sphere; </w:t>
            </w:r>
          </w:p>
          <w:p w14:paraId="3EBED648" w14:textId="3D9B99EA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Analyzes the operation of an organization using the cutting-edge methods in mathematical, statistical and business modeling, elaborates the problem solution strategies and offers recommendations pertaining to the functional spheres of business; </w:t>
            </w:r>
          </w:p>
          <w:p w14:paraId="3A2F6D89" w14:textId="79F226ED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Introduces the concept of business value and uses the methods of its measurement; </w:t>
            </w:r>
          </w:p>
          <w:p w14:paraId="4889F164" w14:textId="3A2F01DB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Identifies the risks related to the unpredictable</w:t>
            </w:r>
            <w:r w:rsidR="00DE59FB"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 / uncertain</w:t>
            </w:r>
            <w:r w:rsidRPr="001A3CA7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 conditions in business and defines the ways of risk management; </w:t>
            </w:r>
          </w:p>
          <w:p w14:paraId="6EFE7440" w14:textId="30601122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1A3CA7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Carries out research and practical projects in business management under the guidance of a lecturer and presents them in context-appropriate technical format;  </w:t>
            </w:r>
          </w:p>
          <w:p w14:paraId="32BE9CCF" w14:textId="4E17FE7F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/>
                <w:color w:val="000000" w:themeColor="text1"/>
                <w:sz w:val="21"/>
                <w:szCs w:val="21"/>
                <w:lang w:val="en-US"/>
              </w:rPr>
              <w:t xml:space="preserve">Acts in accordance with leadership and collaboration principles during teamwork; </w:t>
            </w:r>
          </w:p>
          <w:p w14:paraId="559277B5" w14:textId="345BAB0A" w:rsidR="009201B2" w:rsidRPr="00BC5FAE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AA7984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Makes illustrative presentations of </w:t>
            </w:r>
            <w:r w:rsidR="00AA7984" w:rsidRPr="00AA7984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business-related ideas, existent problems and the ways of their solutions in front of academic and professional audience by adhering to ethical norms and applying modern technologies; </w:t>
            </w:r>
          </w:p>
          <w:p w14:paraId="6F0731AB" w14:textId="5FFFADA9" w:rsidR="009201B2" w:rsidRPr="00BC5FAE" w:rsidRDefault="00DE59F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Makes an</w:t>
            </w:r>
            <w:r w:rsidR="00AA7984"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 assessment of social operation of an organization, plans development-oriented activities aimed at the solution of business problems, and illustrates the ways of their realization by adhering to ethical principles; </w:t>
            </w:r>
          </w:p>
          <w:p w14:paraId="3220C45F" w14:textId="5F90A0D0" w:rsidR="00F205FC" w:rsidRPr="00BC5FAE" w:rsidRDefault="00AA7984" w:rsidP="00AA798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Plans the ways of </w:t>
            </w: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pursuing </w:t>
            </w: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one’s own and others’ continuous professional development and </w:t>
            </w:r>
            <w:r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further </w:t>
            </w:r>
            <w:r w:rsidRPr="00AA7984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study needs. </w:t>
            </w:r>
          </w:p>
        </w:tc>
      </w:tr>
      <w:tr w:rsidR="00D01FF8" w:rsidRPr="00BC5FAE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BC5FAE" w:rsidRDefault="00E6015F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01FF8" w:rsidRPr="00AC4E41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2A5D650" w:rsidR="00C66E31" w:rsidRPr="002F349E" w:rsidRDefault="002F349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t>Methods of achieving learning outcomes</w:t>
            </w:r>
          </w:p>
        </w:tc>
      </w:tr>
      <w:tr w:rsidR="00D01FF8" w:rsidRPr="00BC5FAE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214134" w:rsidRDefault="00FD2AB7" w:rsidP="00BC5FAE">
            <w:pPr>
              <w:rPr>
                <w:rFonts w:ascii="Sylfaen" w:hAnsi="Sylfaen" w:cs="Sylfaen"/>
              </w:rPr>
            </w:pPr>
          </w:p>
          <w:p w14:paraId="341DC0A4" w14:textId="28F58198" w:rsidR="00655179" w:rsidRPr="00214134" w:rsidRDefault="00655179" w:rsidP="00BB7775">
            <w:p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bookmarkEnd w:id="0"/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lecture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seminar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="00BC5FAE"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214134">
              <w:rPr>
                <w:rFonts w:ascii="Sylfaen" w:hAnsi="Sylfaen" w:cs="Sylfaen"/>
              </w:rPr>
              <w:fldChar w:fldCharType="end"/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  <w:lang w:val="en-US"/>
              </w:rPr>
              <w:t>teaching through electronic resources</w:t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</w:t>
            </w:r>
            <w:r w:rsidR="002F349E">
              <w:rPr>
                <w:rFonts w:ascii="Sylfaen" w:hAnsi="Sylfaen" w:cs="Sylfaen"/>
              </w:rPr>
              <w:t>practical seminars and others</w:t>
            </w:r>
          </w:p>
          <w:p w14:paraId="1F87F2D0" w14:textId="25DF1BA3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Verbal Method</w:t>
            </w:r>
            <w:r w:rsidR="00BC5FAE" w:rsidRPr="00214134">
              <w:rPr>
                <w:rFonts w:ascii="Sylfaen" w:hAnsi="Sylfaen" w:cs="Sylfaen"/>
              </w:rPr>
              <w:t xml:space="preserve">; </w:t>
            </w:r>
          </w:p>
          <w:p w14:paraId="3D7AE0B7" w14:textId="3F08588D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Demonstration Method</w:t>
            </w:r>
          </w:p>
          <w:p w14:paraId="2E0BAD70" w14:textId="4AF3B9A1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Presentation</w:t>
            </w:r>
          </w:p>
          <w:p w14:paraId="11097D2E" w14:textId="2BBF5697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Practical Work</w:t>
            </w:r>
          </w:p>
          <w:p w14:paraId="3413F8DF" w14:textId="1646D06C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Group Work</w:t>
            </w:r>
          </w:p>
          <w:p w14:paraId="7D3F4E76" w14:textId="3341A2F4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Project Based Study</w:t>
            </w:r>
          </w:p>
          <w:p w14:paraId="00B201B4" w14:textId="7FA65411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Problem Based Study</w:t>
            </w:r>
          </w:p>
          <w:p w14:paraId="47F7FB08" w14:textId="0154354C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Learning by Doing</w:t>
            </w:r>
          </w:p>
          <w:p w14:paraId="0F6634EE" w14:textId="1A7E1686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Case Study</w:t>
            </w:r>
          </w:p>
          <w:p w14:paraId="5F09574A" w14:textId="66831C66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Simulation Study</w:t>
            </w:r>
          </w:p>
          <w:p w14:paraId="0466A101" w14:textId="1FEC1560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Discussions/Debates</w:t>
            </w:r>
          </w:p>
          <w:p w14:paraId="703B6526" w14:textId="4704D1A5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Application of electronic resources</w:t>
            </w:r>
            <w:r w:rsidR="00BC5FAE" w:rsidRPr="00214134">
              <w:rPr>
                <w:rFonts w:ascii="Sylfaen" w:hAnsi="Sylfaen" w:cs="Sylfaen"/>
              </w:rPr>
              <w:t xml:space="preserve">; </w:t>
            </w:r>
          </w:p>
          <w:p w14:paraId="31A44F14" w14:textId="0D431A00" w:rsidR="00BC5FAE" w:rsidRPr="00214134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Others</w:t>
            </w:r>
          </w:p>
          <w:p w14:paraId="5854E923" w14:textId="6EB426A7" w:rsidR="00534E0A" w:rsidRPr="00214134" w:rsidRDefault="008F5234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  <w:color w:val="000000" w:themeColor="text1"/>
              </w:rPr>
            </w:pPr>
            <w:r>
              <w:rPr>
                <w:rFonts w:ascii="Sylfaen" w:hAnsi="Sylfaen" w:cs="Calibri"/>
                <w:b/>
                <w:color w:val="000000" w:themeColor="text1"/>
                <w:lang w:val="en-US"/>
              </w:rPr>
              <w:t>Activities used in the process of teaching-learning</w:t>
            </w:r>
            <w:r w:rsidR="00534E0A" w:rsidRPr="00214134">
              <w:rPr>
                <w:rFonts w:ascii="Sylfaen" w:hAnsi="Sylfaen" w:cs="Calibri"/>
                <w:b/>
                <w:color w:val="000000" w:themeColor="text1"/>
              </w:rPr>
              <w:t>:</w:t>
            </w:r>
          </w:p>
          <w:p w14:paraId="530E9D18" w14:textId="30EDE218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8F5234">
              <w:rPr>
                <w:rFonts w:ascii="Sylfaen" w:hAnsi="Sylfaen" w:cs="Sylfaen"/>
              </w:rPr>
              <w:t xml:space="preserve">Independent elaboration / explanation / interpretation of a textbook; </w:t>
            </w:r>
          </w:p>
          <w:p w14:paraId="72AD7928" w14:textId="1B6634B8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Practical examples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040DF2C3" w14:textId="6E5FE8AC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Drafting a professional report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2626E6A7" w14:textId="52637093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Preparing answers to the questions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3D6B56E8" w14:textId="6B4B7675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Fulfillment of written tasks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59F1CBA3" w14:textId="05EF97E5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Case studies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2C1DFF63" w14:textId="7AE1A0BE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Participation in discussions and debates</w:t>
            </w:r>
            <w:r w:rsidR="00BC5FAE" w:rsidRPr="00214134">
              <w:rPr>
                <w:rFonts w:ascii="Sylfaen" w:hAnsi="Sylfaen" w:cs="Sylfaen"/>
              </w:rPr>
              <w:t>;</w:t>
            </w:r>
          </w:p>
          <w:p w14:paraId="15DB4445" w14:textId="0DC957AF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 xml:space="preserve">Carrying out a research and preparing a paper under the guidance of a supervisor; </w:t>
            </w:r>
          </w:p>
          <w:p w14:paraId="17D6D39A" w14:textId="5B3A65FE" w:rsidR="00BC5FAE" w:rsidRPr="00214134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8F5234">
              <w:rPr>
                <w:rFonts w:ascii="Sylfaen" w:hAnsi="Sylfaen" w:cs="Sylfaen"/>
              </w:rPr>
              <w:t xml:space="preserve">Completing a paper/project/thesis independently and learning through practical work; </w:t>
            </w:r>
          </w:p>
          <w:p w14:paraId="7353741B" w14:textId="1FDF187B" w:rsidR="007D2ED6" w:rsidRPr="00214134" w:rsidRDefault="005956F6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lang w:val="en-US"/>
              </w:rPr>
              <w:t>Others</w:t>
            </w:r>
          </w:p>
          <w:p w14:paraId="0559DC8F" w14:textId="278067D4" w:rsidR="00BC5FAE" w:rsidRPr="00214134" w:rsidRDefault="00BC5FAE" w:rsidP="00BC5FAE">
            <w:pPr>
              <w:spacing w:after="0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D01FF8" w:rsidRPr="00BC5FAE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3D0DB573" w:rsidR="00C66E31" w:rsidRPr="0059560E" w:rsidRDefault="0059560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en-US"/>
              </w:rPr>
              <w:lastRenderedPageBreak/>
              <w:t>Assessment system</w:t>
            </w:r>
          </w:p>
        </w:tc>
      </w:tr>
      <w:tr w:rsidR="00D01FF8" w:rsidRPr="00BC5FAE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D91CB74" w14:textId="02EBF7A5" w:rsidR="009C6564" w:rsidRPr="005860B1" w:rsidRDefault="0059560E" w:rsidP="0059560E">
            <w:pPr>
              <w:ind w:left="33"/>
              <w:jc w:val="both"/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The evaluation of the level of the achieved study results is carried out in accordance with the assessment system approved by the order # 3 of January 5, 2007, </w:t>
            </w:r>
            <w:r w:rsidR="00DE59FB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of “The Rule of Calculation by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 Credits of Higher Education Programs” issued by the Minister of Education and Science of Georgia. </w:t>
            </w:r>
          </w:p>
          <w:p w14:paraId="654E08CF" w14:textId="680B1CAB" w:rsidR="001D08EE" w:rsidRPr="005860B1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0D57ACA2" w14:textId="77777777" w:rsidR="0059560E" w:rsidRPr="005860B1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B4EBE6" w14:textId="6BAFFEB5" w:rsidR="00423906" w:rsidRPr="005860B1" w:rsidRDefault="0059560E" w:rsidP="0059560E">
            <w:pPr>
              <w:jc w:val="both"/>
              <w:rPr>
                <w:rFonts w:ascii="Sylfaen" w:eastAsia="Batang" w:hAnsi="Sylfaen" w:cs="Sylfaen"/>
                <w:bCs/>
                <w:color w:val="000000"/>
                <w:sz w:val="24"/>
                <w:szCs w:val="24"/>
              </w:rPr>
            </w:pP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The evaluation of the achieved level of study results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involves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the following assessment forms – midterm and final assessments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,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the sum of which makes up the final assessment –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maximum </w:t>
            </w:r>
            <w:r w:rsidRPr="005860B1">
              <w:rPr>
                <w:rFonts w:ascii="Sylfaen" w:eastAsia="Batang" w:hAnsi="Sylfaen" w:cs="Sylfaen"/>
                <w:color w:val="000000"/>
                <w:sz w:val="24"/>
                <w:szCs w:val="24"/>
              </w:rPr>
              <w:t>100 points.</w:t>
            </w:r>
          </w:p>
          <w:p w14:paraId="52804752" w14:textId="77777777" w:rsidR="005860B1" w:rsidRPr="005860B1" w:rsidRDefault="005860B1" w:rsidP="005860B1">
            <w:pPr>
              <w:spacing w:after="0" w:line="240" w:lineRule="auto"/>
              <w:ind w:left="33"/>
              <w:jc w:val="both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5860B1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Final exam is allotted 40 points, the remaining 60 points are allotted to midterm assessments;  </w:t>
            </w:r>
          </w:p>
          <w:p w14:paraId="756A51B9" w14:textId="77777777" w:rsidR="005860B1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 xml:space="preserve">One midterm examination is mandatory in midterm assessment, which is allotted a total of 20 points. The remaining 40 points of midterm assessment can include several tests, active </w:t>
            </w: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participation in seminars and practical classes based on the specific nature of a course and prescribed in the relevant syllabus.</w:t>
            </w:r>
          </w:p>
          <w:p w14:paraId="4CD6231B" w14:textId="08CB2C2C" w:rsidR="009C6564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860B1">
              <w:rPr>
                <w:rFonts w:ascii="Sylfaen" w:eastAsia="Batang" w:hAnsi="Sylfae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2A37C26" w14:textId="0A4D8F4D" w:rsidR="005860B1" w:rsidRPr="005860B1" w:rsidRDefault="005860B1" w:rsidP="005860B1">
            <w:pPr>
              <w:spacing w:after="0" w:line="240" w:lineRule="auto"/>
              <w:ind w:left="33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531FCB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A student will be admitted to final exam only if he/she accumulates minimum 25 points in midterm ass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essments throughout a semester.</w:t>
            </w:r>
          </w:p>
          <w:p w14:paraId="68ECEA94" w14:textId="42C2FD16" w:rsidR="00C275CC" w:rsidRDefault="005860B1" w:rsidP="00CB216A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A student who does not accumulate the mandatory minimum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competence threshold – 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25 points for midterm assessment,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>and does not gain other mandatory points in certain tasks as defined in a syllabus, will not be admitted to the final exam.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 M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inimum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  <w:lang w:val="en-US"/>
              </w:rPr>
              <w:t xml:space="preserve">mandatory points for the final exam are </w:t>
            </w:r>
            <w:r w:rsidR="00CB216A">
              <w:rPr>
                <w:rFonts w:ascii="Sylfaen" w:eastAsia="Batang" w:hAnsi="Sylfaen" w:cs="Sylfaen"/>
                <w:color w:val="000000"/>
                <w:sz w:val="24"/>
                <w:szCs w:val="24"/>
              </w:rPr>
              <w:t>16</w:t>
            </w:r>
            <w:r w:rsidRPr="00531FCB">
              <w:rPr>
                <w:rFonts w:ascii="Sylfaen" w:eastAsia="Batang" w:hAnsi="Sylfaen" w:cs="Sylfaen"/>
                <w:color w:val="000000"/>
                <w:sz w:val="24"/>
                <w:szCs w:val="24"/>
              </w:rPr>
              <w:t xml:space="preserve">. </w:t>
            </w:r>
          </w:p>
          <w:p w14:paraId="0B1DFDC8" w14:textId="77777777" w:rsidR="00CB216A" w:rsidRDefault="00CB216A" w:rsidP="00CB216A">
            <w:pPr>
              <w:ind w:left="33"/>
              <w:jc w:val="both"/>
              <w:rPr>
                <w:rFonts w:ascii="Sylfaen" w:eastAsia="Batang" w:hAnsi="Sylfaen"/>
                <w:color w:val="000000"/>
                <w:sz w:val="24"/>
                <w:szCs w:val="24"/>
              </w:rPr>
            </w:pP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1537DF6C" w14:textId="5F5CF0D0" w:rsidR="00BB7775" w:rsidRPr="00CB216A" w:rsidRDefault="00CB216A" w:rsidP="00CB216A">
            <w:pPr>
              <w:ind w:left="33"/>
              <w:jc w:val="both"/>
              <w:rPr>
                <w:rFonts w:ascii="Sylfaen" w:eastAsia="Batang" w:hAnsi="Sylfaen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>A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 cumulative grade is calculated in the following way: the point</w:t>
            </w:r>
            <w:r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s accumulated by a student in each study course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are multiplied by the credit points allotted to </w:t>
            </w:r>
            <w:r w:rsidR="00DE59FB"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>each</w:t>
            </w:r>
            <w:r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 xml:space="preserve"> course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, and thereafter, the total number is divided by the credit points accumulated by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  <w:lang w:val="en-US"/>
              </w:rPr>
              <w:t xml:space="preserve">a </w:t>
            </w:r>
            <w:r w:rsidRPr="00531FCB">
              <w:rPr>
                <w:rFonts w:ascii="Sylfaen" w:eastAsia="Batang" w:hAnsi="Sylfaen"/>
                <w:color w:val="000000"/>
                <w:sz w:val="24"/>
                <w:szCs w:val="24"/>
              </w:rPr>
              <w:t xml:space="preserve">student.  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BB7775" w:rsidRPr="00A20F5E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40239645" w:rsidR="00BB7775" w:rsidRPr="00587A75" w:rsidRDefault="00DD1B2E" w:rsidP="0059560E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sz w:val="20"/>
                      <w:szCs w:val="20"/>
                      <w:lang w:val="en-US"/>
                    </w:rPr>
                    <w:t>Assessment system</w:t>
                  </w:r>
                  <w:r w:rsidR="00BB7775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B7775" w:rsidRPr="00A20F5E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1CE6E540" w14:textId="1BA0DDA8" w:rsidR="00DD1B2E" w:rsidRPr="00531FCB" w:rsidRDefault="00DD1B2E" w:rsidP="00DD1B2E">
                  <w:pPr>
                    <w:spacing w:after="0" w:line="240" w:lineRule="auto"/>
                    <w:jc w:val="both"/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</w:pPr>
                  <w:r w:rsidRPr="00531FCB"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 xml:space="preserve">Student assessment is conducted </w:t>
                  </w:r>
                  <w:r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>according to</w:t>
                  </w:r>
                  <w:r w:rsidRPr="00531FCB">
                    <w:rPr>
                      <w:rFonts w:ascii="Sylfaen" w:hAnsi="Sylfaen" w:cs="AcadNusx"/>
                      <w:color w:val="000000"/>
                      <w:sz w:val="24"/>
                      <w:szCs w:val="24"/>
                      <w:lang w:val="en-US"/>
                    </w:rPr>
                    <w:t xml:space="preserve"> the following evaluation system: </w:t>
                  </w:r>
                </w:p>
                <w:p w14:paraId="2A84CD37" w14:textId="5B5914C6" w:rsidR="00DD1B2E" w:rsidRPr="00CE5B35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ositive assessment:</w:t>
                  </w:r>
                </w:p>
                <w:p w14:paraId="43C16EF4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>A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Excellent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91-100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ECA546A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B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Very good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81-90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315552D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Good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71-80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44718420" w14:textId="77777777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Satisfactory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;</w:t>
                  </w:r>
                </w:p>
                <w:p w14:paraId="2A3776F2" w14:textId="5A461A74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Sufficient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51-60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points.</w:t>
                  </w:r>
                </w:p>
                <w:p w14:paraId="4E71CCC6" w14:textId="77777777" w:rsidR="00DD1B2E" w:rsidRP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</w:p>
                <w:p w14:paraId="5727D724" w14:textId="211584CA" w:rsidR="00DD1B2E" w:rsidRPr="00531FCB" w:rsidRDefault="00DD1B2E" w:rsidP="00DD1B2E">
                  <w:pPr>
                    <w:jc w:val="both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N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egative assessment: </w:t>
                  </w:r>
                </w:p>
                <w:p w14:paraId="5894AE69" w14:textId="740F14FE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531FCB">
                    <w:rPr>
                      <w:rFonts w:ascii="Sylfaen" w:hAnsi="Sylfaen"/>
                      <w:sz w:val="24"/>
                      <w:szCs w:val="24"/>
                    </w:rPr>
                    <w:t>FX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Could not pass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41-50 </w:t>
                  </w:r>
                  <w:r w:rsidR="00DE59F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, which means that a 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studen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t</w:t>
                  </w: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57B13F87" w14:textId="77777777" w:rsidR="00DD1B2E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needs t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o work more and is granted the right to re-take an exam once after additional </w:t>
                  </w:r>
                </w:p>
                <w:p w14:paraId="2E7562C3" w14:textId="5AF3D7F9" w:rsidR="00DD1B2E" w:rsidRPr="00531FCB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independent work; </w:t>
                  </w:r>
                </w:p>
                <w:p w14:paraId="14B337F8" w14:textId="77777777" w:rsidR="00DD1B2E" w:rsidRDefault="00DD1B2E" w:rsidP="00DD1B2E">
                  <w:pPr>
                    <w:ind w:left="33"/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ab/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Failed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40 </w:t>
                  </w:r>
                  <w:r w:rsidRPr="00531FCB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 and less out of maximum assessment</w:t>
                  </w: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, which means that the work </w:t>
                  </w:r>
                </w:p>
                <w:p w14:paraId="685A8EC8" w14:textId="45DEF03D" w:rsidR="00DD1B2E" w:rsidRPr="00531FCB" w:rsidRDefault="00DD1B2E" w:rsidP="00DD1B2E">
                  <w:pPr>
                    <w:ind w:left="33"/>
                    <w:jc w:val="both"/>
                    <w:rPr>
                      <w:rFonts w:ascii="Sylfaen" w:eastAsia="Batang" w:hAnsi="Sylfaen" w:cs="Sylfae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done by a student is insufficient and he/she needs to re-take the course. </w:t>
                  </w:r>
                </w:p>
                <w:p w14:paraId="7C0EAE54" w14:textId="77777777" w:rsidR="00DD1B2E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In case of receiving the assessment of FX, an additional exam is set within 5 calendar days </w:t>
                  </w:r>
                </w:p>
                <w:p w14:paraId="4DC4A74D" w14:textId="1AD97703" w:rsidR="00DD1B2E" w:rsidRPr="00DD1B2E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531FCB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after the announcement of the results of the final exam. </w:t>
                  </w:r>
                </w:p>
              </w:tc>
            </w:tr>
          </w:tbl>
          <w:p w14:paraId="0ADDE453" w14:textId="6B47D242" w:rsidR="00BB7775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3D5A11DB" w14:textId="77777777" w:rsidR="005E4592" w:rsidRDefault="005E4592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4AD0F346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</w:tc>
      </w:tr>
      <w:tr w:rsidR="00D01FF8" w:rsidRPr="00BC5FAE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3025C4ED" w:rsidR="00F5630B" w:rsidRPr="00BC5FAE" w:rsidRDefault="00DD1B2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E5749C">
              <w:rPr>
                <w:rFonts w:ascii="Sylfaen" w:hAnsi="Sylfaen"/>
                <w:b/>
                <w:sz w:val="24"/>
                <w:szCs w:val="24"/>
              </w:rPr>
              <w:lastRenderedPageBreak/>
              <w:t>The resources to be utilized for the realization of the program</w:t>
            </w:r>
          </w:p>
        </w:tc>
      </w:tr>
    </w:tbl>
    <w:p w14:paraId="6893DFB7" w14:textId="77777777" w:rsidR="005E4592" w:rsidRDefault="005E4592" w:rsidP="00DD1B2E">
      <w:pPr>
        <w:jc w:val="both"/>
        <w:rPr>
          <w:rFonts w:ascii="Sylfaen" w:eastAsia="Batang" w:hAnsi="Sylfaen" w:cs="Sylfaen"/>
          <w:color w:val="000000" w:themeColor="text1"/>
        </w:rPr>
      </w:pPr>
    </w:p>
    <w:p w14:paraId="68A48C84" w14:textId="2505BF98" w:rsidR="00DD1B2E" w:rsidRPr="00E5749C" w:rsidRDefault="00DD1B2E" w:rsidP="00DD1B2E">
      <w:pPr>
        <w:jc w:val="both"/>
        <w:rPr>
          <w:rFonts w:ascii="Sylfaen" w:eastAsia="Batang" w:hAnsi="Sylfaen" w:cs="Sylfaen"/>
          <w:b/>
          <w:sz w:val="24"/>
          <w:szCs w:val="24"/>
        </w:rPr>
      </w:pPr>
      <w:r w:rsidRPr="00E5749C">
        <w:rPr>
          <w:rFonts w:ascii="Sylfaen" w:eastAsia="Batang" w:hAnsi="Sylfaen" w:cs="Sylfaen"/>
          <w:b/>
          <w:sz w:val="24"/>
          <w:szCs w:val="24"/>
        </w:rPr>
        <w:t xml:space="preserve">Material resources: </w:t>
      </w:r>
    </w:p>
    <w:p w14:paraId="0BAF8344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space as defined by legislation (study and supplementary); </w:t>
      </w:r>
    </w:p>
    <w:p w14:paraId="674B7CFA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auditoria equipped with relevant inventory, conference halls, work spaces for the academic personnel, work spaces for the administrative staff; </w:t>
      </w:r>
    </w:p>
    <w:p w14:paraId="56066247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The system for continuous provision of electricity; </w:t>
      </w:r>
    </w:p>
    <w:p w14:paraId="4DF5275E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Wet points; </w:t>
      </w:r>
    </w:p>
    <w:p w14:paraId="50F4185D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Natural illumination; </w:t>
      </w:r>
    </w:p>
    <w:p w14:paraId="3F57921C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Heating facilities; </w:t>
      </w:r>
    </w:p>
    <w:p w14:paraId="1D8D0C59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Fire extinguishing mechanisms and safety inventory; </w:t>
      </w:r>
    </w:p>
    <w:p w14:paraId="471F7372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Evacuation plan; </w:t>
      </w:r>
    </w:p>
    <w:p w14:paraId="1C9CB056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Medical facilities; medical service center; </w:t>
      </w:r>
    </w:p>
    <w:p w14:paraId="42259781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University security services and mechanisms of keeping order; </w:t>
      </w:r>
    </w:p>
    <w:p w14:paraId="3731F58C" w14:textId="7777777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 xml:space="preserve">Sufficient number of computers and access to the Internet; </w:t>
      </w:r>
    </w:p>
    <w:p w14:paraId="12A5D2DB" w14:textId="63F0A017" w:rsidR="00DD1B2E" w:rsidRPr="00E5749C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E5749C">
        <w:rPr>
          <w:rFonts w:ascii="Sylfaen" w:eastAsia="Batang" w:hAnsi="Sylfaen" w:cs="Sylfaen"/>
          <w:sz w:val="24"/>
          <w:szCs w:val="24"/>
        </w:rPr>
        <w:t>The library equipped with the re</w:t>
      </w:r>
      <w:r w:rsidR="005E4592">
        <w:rPr>
          <w:rFonts w:ascii="Sylfaen" w:eastAsia="Batang" w:hAnsi="Sylfaen" w:cs="Sylfaen"/>
          <w:sz w:val="24"/>
          <w:szCs w:val="24"/>
        </w:rPr>
        <w:t xml:space="preserve">levant study manuals / textbooks </w:t>
      </w:r>
      <w:r w:rsidRPr="00E5749C">
        <w:rPr>
          <w:rFonts w:ascii="Sylfaen" w:eastAsia="Batang" w:hAnsi="Sylfaen" w:cs="Sylfaen"/>
          <w:sz w:val="24"/>
          <w:szCs w:val="24"/>
        </w:rPr>
        <w:t xml:space="preserve">and with the modern information-communication technologies; </w:t>
      </w:r>
    </w:p>
    <w:p w14:paraId="7E96CA9C" w14:textId="77777777" w:rsidR="00DD1B2E" w:rsidRDefault="00DD1B2E" w:rsidP="00DD1B2E">
      <w:pPr>
        <w:spacing w:after="0"/>
        <w:jc w:val="both"/>
        <w:rPr>
          <w:rFonts w:ascii="Sylfaen" w:eastAsia="Arial Unicode MS" w:hAnsi="Sylfaen" w:cs="Arial Unicode MS"/>
          <w:b/>
        </w:rPr>
      </w:pPr>
    </w:p>
    <w:p w14:paraId="08D48D0C" w14:textId="1D63ABCE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3C2D01C" w14:textId="33B68695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C55D5BF" w14:textId="03F5F581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0DD805BF" w14:textId="3361267C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10E426F" w14:textId="0B175892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9AD8E04" w14:textId="322DF30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27D19A54" w14:textId="2F1A5E3C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219DF5D8" w14:textId="43ED3556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E240439" w14:textId="46C2F2B2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FE57766" w14:textId="61224AA3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B962D19" w14:textId="4B4D08C6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655674F6" w14:textId="40D1E3D3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4F1DE30D" w14:textId="489C5BE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17EF2F4" w14:textId="77777777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3E852B6" w14:textId="6E3B5766" w:rsidR="005E4592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  <w:r w:rsidRPr="00886758">
        <w:rPr>
          <w:rFonts w:ascii="Sylfaen" w:eastAsia="Batang" w:hAnsi="Sylfaen" w:cs="Sylfaen"/>
          <w:b/>
          <w:sz w:val="24"/>
          <w:szCs w:val="24"/>
        </w:rPr>
        <w:t>Human resources:</w:t>
      </w:r>
    </w:p>
    <w:p w14:paraId="7594DF4F" w14:textId="77777777" w:rsidR="005E4592" w:rsidRPr="00886758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</w:p>
    <w:p w14:paraId="32B9F75F" w14:textId="5E50A6C4" w:rsidR="005E4592" w:rsidRPr="00886758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eastAsia="Batang" w:hAnsi="Sylfaen" w:cs="Sylfaen"/>
          <w:sz w:val="24"/>
          <w:szCs w:val="24"/>
        </w:rPr>
      </w:pPr>
      <w:r w:rsidRPr="00886758">
        <w:rPr>
          <w:rFonts w:ascii="Sylfaen" w:eastAsia="Batang" w:hAnsi="Sylfaen" w:cs="Sylfaen"/>
          <w:sz w:val="24"/>
          <w:szCs w:val="24"/>
        </w:rPr>
        <w:t xml:space="preserve">Academic staff </w:t>
      </w:r>
      <w:r>
        <w:rPr>
          <w:rFonts w:ascii="Sylfaen" w:eastAsia="Batang" w:hAnsi="Sylfaen" w:cs="Sylfaen"/>
          <w:sz w:val="24"/>
          <w:szCs w:val="24"/>
          <w:lang w:val="en-US"/>
        </w:rPr>
        <w:t xml:space="preserve">members are </w:t>
      </w:r>
      <w:r w:rsidRPr="00886758">
        <w:rPr>
          <w:rFonts w:ascii="Sylfaen" w:eastAsia="Batang" w:hAnsi="Sylfaen" w:cs="Sylfaen"/>
          <w:sz w:val="24"/>
          <w:szCs w:val="24"/>
        </w:rPr>
        <w:t xml:space="preserve">selected according to Georgian legislature, considering their qualifications. </w:t>
      </w:r>
    </w:p>
    <w:p w14:paraId="2353B6AE" w14:textId="52146BD7" w:rsidR="005E4592" w:rsidRPr="00886758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</w:rPr>
      </w:pPr>
      <w:r w:rsidRPr="00886758">
        <w:rPr>
          <w:rFonts w:ascii="Sylfaen" w:eastAsia="Batang" w:hAnsi="Sylfaen" w:cs="Sylfaen"/>
          <w:sz w:val="24"/>
          <w:szCs w:val="24"/>
        </w:rPr>
        <w:t xml:space="preserve">Practitioners and </w:t>
      </w:r>
      <w:r>
        <w:rPr>
          <w:rFonts w:ascii="Sylfaen" w:eastAsia="Batang" w:hAnsi="Sylfaen" w:cs="Sylfaen"/>
          <w:sz w:val="24"/>
          <w:szCs w:val="24"/>
          <w:lang w:val="en-US"/>
        </w:rPr>
        <w:t>lecturers</w:t>
      </w:r>
      <w:r w:rsidRPr="00886758">
        <w:rPr>
          <w:rFonts w:ascii="Sylfaen" w:eastAsia="Batang" w:hAnsi="Sylfaen" w:cs="Sylfaen"/>
          <w:sz w:val="24"/>
          <w:szCs w:val="24"/>
        </w:rPr>
        <w:t xml:space="preserve"> possessing relevant qualifications and individuals holding academic </w:t>
      </w:r>
      <w:r>
        <w:rPr>
          <w:rFonts w:ascii="Sylfaen" w:eastAsia="Batang" w:hAnsi="Sylfaen" w:cs="Sylfaen"/>
          <w:sz w:val="24"/>
          <w:szCs w:val="24"/>
          <w:lang w:val="en-US"/>
        </w:rPr>
        <w:t xml:space="preserve">/ scientific </w:t>
      </w:r>
      <w:r w:rsidRPr="00886758">
        <w:rPr>
          <w:rFonts w:ascii="Sylfaen" w:eastAsia="Batang" w:hAnsi="Sylfaen" w:cs="Sylfaen"/>
          <w:sz w:val="24"/>
          <w:szCs w:val="24"/>
        </w:rPr>
        <w:t>degree a</w:t>
      </w:r>
      <w:r>
        <w:rPr>
          <w:rFonts w:ascii="Sylfaen" w:eastAsia="Batang" w:hAnsi="Sylfaen" w:cs="Sylfaen"/>
          <w:sz w:val="24"/>
          <w:szCs w:val="24"/>
        </w:rPr>
        <w:t>re invited to the University as researchers and instructors.</w:t>
      </w:r>
    </w:p>
    <w:p w14:paraId="5D93E968" w14:textId="77777777" w:rsidR="005E4592" w:rsidRPr="00A01E79" w:rsidRDefault="005E4592" w:rsidP="005E4592">
      <w:pPr>
        <w:spacing w:after="0"/>
        <w:rPr>
          <w:rFonts w:ascii="Sylfaen" w:hAnsi="Sylfaen" w:cs="Merriweather"/>
          <w:b/>
        </w:rPr>
      </w:pPr>
    </w:p>
    <w:p w14:paraId="2485F892" w14:textId="429DC47E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3987EC3E" w14:textId="2E7ED187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5238FB10" w14:textId="6F04788A" w:rsidR="005E4592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19913D45" w14:textId="77777777" w:rsidR="005E4592" w:rsidRPr="009517CD" w:rsidRDefault="005E4592" w:rsidP="005E4592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741F3B19" w14:textId="6208377C" w:rsidR="005E4592" w:rsidRDefault="005E4592" w:rsidP="00BD7B77">
      <w:pPr>
        <w:spacing w:after="0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Attachment 1: study plan of the program</w:t>
      </w:r>
    </w:p>
    <w:p w14:paraId="70458648" w14:textId="68BFB3DA" w:rsidR="005E4592" w:rsidRPr="005E4592" w:rsidRDefault="005E4592" w:rsidP="00BD7B77">
      <w:pPr>
        <w:spacing w:after="0"/>
        <w:rPr>
          <w:rFonts w:ascii="Sylfaen" w:hAnsi="Sylfaen"/>
          <w:b/>
          <w:color w:val="000000" w:themeColor="text1"/>
          <w:lang w:val="en-US"/>
        </w:rPr>
      </w:pPr>
      <w:r>
        <w:rPr>
          <w:rFonts w:ascii="Sylfaen" w:hAnsi="Sylfaen"/>
          <w:b/>
          <w:color w:val="000000" w:themeColor="text1"/>
          <w:lang w:val="en-US"/>
        </w:rPr>
        <w:t>Attachment 2: CV – Tamaz Uzunashvili</w:t>
      </w:r>
    </w:p>
    <w:sectPr w:rsidR="005E4592" w:rsidRPr="005E4592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nlo Regular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609385">
    <w:abstractNumId w:val="0"/>
  </w:num>
  <w:num w:numId="2" w16cid:durableId="1951348924">
    <w:abstractNumId w:val="15"/>
  </w:num>
  <w:num w:numId="3" w16cid:durableId="347223390">
    <w:abstractNumId w:val="12"/>
  </w:num>
  <w:num w:numId="4" w16cid:durableId="1014383551">
    <w:abstractNumId w:val="11"/>
  </w:num>
  <w:num w:numId="5" w16cid:durableId="312489123">
    <w:abstractNumId w:val="5"/>
  </w:num>
  <w:num w:numId="6" w16cid:durableId="468592087">
    <w:abstractNumId w:val="14"/>
  </w:num>
  <w:num w:numId="7" w16cid:durableId="1365015709">
    <w:abstractNumId w:val="8"/>
  </w:num>
  <w:num w:numId="8" w16cid:durableId="1394160384">
    <w:abstractNumId w:val="6"/>
  </w:num>
  <w:num w:numId="9" w16cid:durableId="1963883739">
    <w:abstractNumId w:val="2"/>
  </w:num>
  <w:num w:numId="10" w16cid:durableId="909535458">
    <w:abstractNumId w:val="3"/>
  </w:num>
  <w:num w:numId="11" w16cid:durableId="1952396793">
    <w:abstractNumId w:val="10"/>
  </w:num>
  <w:num w:numId="12" w16cid:durableId="1815834739">
    <w:abstractNumId w:val="9"/>
  </w:num>
  <w:num w:numId="13" w16cid:durableId="1904756660">
    <w:abstractNumId w:val="7"/>
  </w:num>
  <w:num w:numId="14" w16cid:durableId="1603343596">
    <w:abstractNumId w:val="4"/>
  </w:num>
  <w:num w:numId="15" w16cid:durableId="1425762409">
    <w:abstractNumId w:val="13"/>
  </w:num>
  <w:num w:numId="16" w16cid:durableId="2345860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26B64"/>
    <w:rsid w:val="0003042E"/>
    <w:rsid w:val="00033A0B"/>
    <w:rsid w:val="00043E1F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D7662"/>
    <w:rsid w:val="000E5670"/>
    <w:rsid w:val="000E6A42"/>
    <w:rsid w:val="000F5E17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A3CA7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4D8"/>
    <w:rsid w:val="002D1760"/>
    <w:rsid w:val="002E49DD"/>
    <w:rsid w:val="002E4B90"/>
    <w:rsid w:val="002E4DDA"/>
    <w:rsid w:val="002F349E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53A3"/>
    <w:rsid w:val="0056696C"/>
    <w:rsid w:val="00573673"/>
    <w:rsid w:val="00580DB0"/>
    <w:rsid w:val="0058158F"/>
    <w:rsid w:val="005860B1"/>
    <w:rsid w:val="00586FE8"/>
    <w:rsid w:val="00592B85"/>
    <w:rsid w:val="00593CB9"/>
    <w:rsid w:val="0059560E"/>
    <w:rsid w:val="005956F6"/>
    <w:rsid w:val="00597233"/>
    <w:rsid w:val="005A302D"/>
    <w:rsid w:val="005A5F9B"/>
    <w:rsid w:val="005B0396"/>
    <w:rsid w:val="005B292A"/>
    <w:rsid w:val="005B416E"/>
    <w:rsid w:val="005B484B"/>
    <w:rsid w:val="005B7607"/>
    <w:rsid w:val="005E4592"/>
    <w:rsid w:val="005F0C33"/>
    <w:rsid w:val="005F1B22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1B4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0D2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1626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1F64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234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39AF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1B92"/>
    <w:rsid w:val="00AA24C7"/>
    <w:rsid w:val="00AA4762"/>
    <w:rsid w:val="00AA6869"/>
    <w:rsid w:val="00AA7984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4D4B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1AF9"/>
    <w:rsid w:val="00C84D72"/>
    <w:rsid w:val="00C853F4"/>
    <w:rsid w:val="00C8598F"/>
    <w:rsid w:val="00C90306"/>
    <w:rsid w:val="00CA1931"/>
    <w:rsid w:val="00CA499F"/>
    <w:rsid w:val="00CA63F2"/>
    <w:rsid w:val="00CB216A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1AC5"/>
    <w:rsid w:val="00DB2CE2"/>
    <w:rsid w:val="00DB74A4"/>
    <w:rsid w:val="00DC0F38"/>
    <w:rsid w:val="00DD1B2E"/>
    <w:rsid w:val="00DD40F0"/>
    <w:rsid w:val="00DD572B"/>
    <w:rsid w:val="00DE10C1"/>
    <w:rsid w:val="00DE59FB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183B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714"/>
    <w:rsid w:val="00E879F7"/>
    <w:rsid w:val="00EA6FE5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446E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46969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7C933F-DD73-4594-AC2E-750F514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11267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Tamaz Uzunashvili</cp:lastModifiedBy>
  <cp:revision>3</cp:revision>
  <cp:lastPrinted>2019-07-08T07:56:00Z</cp:lastPrinted>
  <dcterms:created xsi:type="dcterms:W3CDTF">2024-04-24T08:21:00Z</dcterms:created>
  <dcterms:modified xsi:type="dcterms:W3CDTF">2024-05-20T01:19:00Z</dcterms:modified>
</cp:coreProperties>
</file>